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eastAsia="仿宋_GB2312"/>
          <w:color w:val="auto"/>
          <w:sz w:val="28"/>
          <w:szCs w:val="28"/>
        </w:rPr>
      </w:pPr>
      <w:r>
        <w:rPr>
          <w:rFonts w:ascii="仿宋_GB2312" w:eastAsia="仿宋_GB2312"/>
          <w:color w:val="auto"/>
          <w:sz w:val="28"/>
          <w:szCs w:val="28"/>
        </w:rPr>
        <w:t>附件</w:t>
      </w:r>
      <w:r>
        <w:rPr>
          <w:rFonts w:hint="eastAsia" w:ascii="仿宋_GB2312" w:eastAsia="仿宋_GB2312"/>
          <w:color w:val="auto"/>
          <w:sz w:val="28"/>
          <w:szCs w:val="28"/>
        </w:rPr>
        <w:t>2：</w:t>
      </w:r>
    </w:p>
    <w:p>
      <w:pPr>
        <w:adjustRightInd w:val="0"/>
        <w:snapToGrid w:val="0"/>
        <w:spacing w:line="588" w:lineRule="exact"/>
        <w:jc w:val="center"/>
        <w:rPr>
          <w:rFonts w:ascii="仿宋_GB2312" w:eastAsia="仿宋_GB2312"/>
          <w:b/>
          <w:sz w:val="28"/>
          <w:szCs w:val="28"/>
        </w:rPr>
      </w:pPr>
      <w:r>
        <w:rPr>
          <w:rFonts w:hint="eastAsia" w:ascii="仿宋_GB2312" w:eastAsia="仿宋_GB2312"/>
          <w:b/>
          <w:sz w:val="28"/>
          <w:szCs w:val="28"/>
        </w:rPr>
        <w:t>暨南大学人才层次划分简表</w:t>
      </w:r>
    </w:p>
    <w:tbl>
      <w:tblPr>
        <w:tblStyle w:val="3"/>
        <w:tblW w:w="10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9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adjustRightInd w:val="0"/>
              <w:snapToGrid w:val="0"/>
              <w:spacing w:line="588" w:lineRule="exact"/>
              <w:jc w:val="center"/>
              <w:rPr>
                <w:rFonts w:ascii="仿宋_GB2312" w:eastAsia="仿宋_GB2312"/>
                <w:szCs w:val="21"/>
              </w:rPr>
            </w:pPr>
            <w:r>
              <w:rPr>
                <w:rFonts w:hint="eastAsia" w:ascii="仿宋_GB2312" w:eastAsia="仿宋_GB2312"/>
                <w:szCs w:val="21"/>
              </w:rPr>
              <w:t>人才层次</w:t>
            </w:r>
          </w:p>
        </w:tc>
        <w:tc>
          <w:tcPr>
            <w:tcW w:w="9185" w:type="dxa"/>
            <w:vAlign w:val="center"/>
          </w:tcPr>
          <w:p>
            <w:pPr>
              <w:adjustRightInd w:val="0"/>
              <w:snapToGrid w:val="0"/>
              <w:spacing w:line="588" w:lineRule="exact"/>
              <w:jc w:val="center"/>
              <w:rPr>
                <w:rFonts w:ascii="仿宋_GB2312" w:eastAsia="仿宋_GB2312"/>
                <w:szCs w:val="21"/>
              </w:rPr>
            </w:pPr>
            <w:r>
              <w:rPr>
                <w:rFonts w:hint="eastAsia" w:ascii="仿宋_GB2312" w:eastAsia="仿宋_GB2312"/>
                <w:szCs w:val="21"/>
              </w:rPr>
              <w:t>基本应聘条件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adjustRightInd w:val="0"/>
              <w:snapToGrid w:val="0"/>
              <w:spacing w:line="588" w:lineRule="exact"/>
              <w:jc w:val="center"/>
              <w:rPr>
                <w:rFonts w:ascii="仿宋_GB2312" w:eastAsia="仿宋_GB2312"/>
                <w:szCs w:val="21"/>
              </w:rPr>
            </w:pPr>
            <w:r>
              <w:rPr>
                <w:rFonts w:hint="eastAsia" w:ascii="仿宋_GB2312" w:eastAsia="仿宋_GB2312"/>
                <w:szCs w:val="21"/>
              </w:rPr>
              <w:t>第一层次</w:t>
            </w:r>
          </w:p>
          <w:p>
            <w:pPr>
              <w:adjustRightInd w:val="0"/>
              <w:snapToGrid w:val="0"/>
              <w:spacing w:line="588" w:lineRule="exact"/>
              <w:jc w:val="center"/>
              <w:rPr>
                <w:rFonts w:ascii="仿宋_GB2312" w:eastAsia="仿宋_GB2312"/>
                <w:szCs w:val="21"/>
              </w:rPr>
            </w:pPr>
            <w:r>
              <w:rPr>
                <w:rFonts w:hint="eastAsia" w:ascii="仿宋_GB2312" w:eastAsia="仿宋_GB2312"/>
                <w:szCs w:val="21"/>
              </w:rPr>
              <w:t>（顶尖人才）</w:t>
            </w:r>
          </w:p>
        </w:tc>
        <w:tc>
          <w:tcPr>
            <w:tcW w:w="9185" w:type="dxa"/>
            <w:vAlign w:val="center"/>
          </w:tcPr>
          <w:p>
            <w:pPr>
              <w:autoSpaceDE w:val="0"/>
              <w:autoSpaceDN w:val="0"/>
              <w:adjustRightInd w:val="0"/>
              <w:snapToGrid w:val="0"/>
              <w:spacing w:line="590" w:lineRule="exact"/>
              <w:ind w:firstLine="420" w:firstLineChars="200"/>
              <w:rPr>
                <w:rFonts w:ascii="仿宋_GB2312" w:eastAsia="仿宋_GB2312"/>
                <w:szCs w:val="21"/>
              </w:rPr>
            </w:pPr>
            <w:r>
              <w:rPr>
                <w:rFonts w:hint="eastAsia" w:ascii="仿宋_GB2312" w:eastAsia="仿宋_GB2312"/>
                <w:szCs w:val="21"/>
              </w:rPr>
              <w:t>作为学科建设的领军人物，能够带领本学</w:t>
            </w:r>
            <w:bookmarkStart w:id="0" w:name="_GoBack"/>
            <w:bookmarkEnd w:id="0"/>
            <w:r>
              <w:rPr>
                <w:rFonts w:hint="eastAsia" w:ascii="仿宋_GB2312" w:eastAsia="仿宋_GB2312"/>
                <w:szCs w:val="21"/>
              </w:rPr>
              <w:t>科在其领域赶超或者保持国际先进水平。包括诺贝尔奖获得者、两院院士、外籍及境外院士，或具有上述相当成就的国内外知名教授（年龄一般不超过60周岁）。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adjustRightInd w:val="0"/>
              <w:snapToGrid w:val="0"/>
              <w:spacing w:line="588" w:lineRule="exact"/>
              <w:jc w:val="center"/>
              <w:rPr>
                <w:rFonts w:ascii="仿宋_GB2312" w:eastAsia="仿宋_GB2312"/>
                <w:szCs w:val="21"/>
              </w:rPr>
            </w:pPr>
            <w:r>
              <w:rPr>
                <w:rFonts w:hint="eastAsia" w:ascii="仿宋_GB2312" w:eastAsia="仿宋_GB2312"/>
                <w:szCs w:val="21"/>
              </w:rPr>
              <w:t>第二层次</w:t>
            </w:r>
          </w:p>
          <w:p>
            <w:pPr>
              <w:adjustRightInd w:val="0"/>
              <w:snapToGrid w:val="0"/>
              <w:spacing w:line="588" w:lineRule="exact"/>
              <w:jc w:val="center"/>
              <w:rPr>
                <w:rFonts w:ascii="仿宋_GB2312" w:eastAsia="仿宋_GB2312"/>
                <w:szCs w:val="21"/>
              </w:rPr>
            </w:pPr>
            <w:r>
              <w:rPr>
                <w:rFonts w:hint="eastAsia" w:ascii="仿宋_GB2312" w:eastAsia="仿宋_GB2312"/>
                <w:szCs w:val="21"/>
              </w:rPr>
              <w:t>（领军人才）</w:t>
            </w:r>
          </w:p>
        </w:tc>
        <w:tc>
          <w:tcPr>
            <w:tcW w:w="9185" w:type="dxa"/>
            <w:vAlign w:val="center"/>
          </w:tcPr>
          <w:p>
            <w:pPr>
              <w:autoSpaceDE w:val="0"/>
              <w:autoSpaceDN w:val="0"/>
              <w:adjustRightInd w:val="0"/>
              <w:snapToGrid w:val="0"/>
              <w:spacing w:line="590" w:lineRule="exact"/>
              <w:ind w:firstLine="420" w:firstLineChars="200"/>
              <w:rPr>
                <w:rFonts w:ascii="仿宋_GB2312" w:eastAsia="仿宋_GB2312"/>
                <w:szCs w:val="21"/>
              </w:rPr>
            </w:pPr>
            <w:r>
              <w:rPr>
                <w:rFonts w:hint="eastAsia" w:ascii="仿宋_GB2312" w:eastAsia="仿宋_GB2312"/>
                <w:szCs w:val="21"/>
              </w:rPr>
              <w:t>海内外著名大学的教授，海外著名研究机构资深研究员，能带领本学科在其领域赶超或者保持全国领先水平的领军人才，原则上不超过55周岁（以当年12月31日为计算截止日），其中包括：</w:t>
            </w:r>
          </w:p>
          <w:p>
            <w:pPr>
              <w:autoSpaceDE w:val="0"/>
              <w:autoSpaceDN w:val="0"/>
              <w:adjustRightInd w:val="0"/>
              <w:snapToGrid w:val="0"/>
              <w:spacing w:line="590" w:lineRule="exact"/>
              <w:ind w:firstLine="420" w:firstLineChars="200"/>
              <w:rPr>
                <w:rFonts w:ascii="仿宋_GB2312" w:eastAsia="仿宋_GB2312"/>
                <w:szCs w:val="21"/>
              </w:rPr>
            </w:pPr>
            <w:r>
              <w:rPr>
                <w:rFonts w:hint="eastAsia" w:ascii="仿宋_GB2312" w:eastAsia="仿宋_GB2312"/>
                <w:szCs w:val="21"/>
              </w:rPr>
              <w:t>1.国家千人计划入选者；</w:t>
            </w:r>
          </w:p>
          <w:p>
            <w:pPr>
              <w:autoSpaceDE w:val="0"/>
              <w:autoSpaceDN w:val="0"/>
              <w:adjustRightInd w:val="0"/>
              <w:snapToGrid w:val="0"/>
              <w:spacing w:line="590" w:lineRule="exact"/>
              <w:ind w:firstLine="420" w:firstLineChars="200"/>
              <w:rPr>
                <w:rFonts w:ascii="仿宋_GB2312" w:eastAsia="仿宋_GB2312"/>
                <w:szCs w:val="21"/>
              </w:rPr>
            </w:pPr>
            <w:r>
              <w:rPr>
                <w:rFonts w:hint="eastAsia" w:ascii="仿宋_GB2312" w:eastAsia="仿宋_GB2312"/>
                <w:szCs w:val="21"/>
              </w:rPr>
              <w:t>2.长江学者特聘教授；</w:t>
            </w:r>
          </w:p>
          <w:p>
            <w:pPr>
              <w:autoSpaceDE w:val="0"/>
              <w:autoSpaceDN w:val="0"/>
              <w:adjustRightInd w:val="0"/>
              <w:snapToGrid w:val="0"/>
              <w:spacing w:line="590" w:lineRule="exact"/>
              <w:ind w:firstLine="420" w:firstLineChars="200"/>
              <w:rPr>
                <w:rFonts w:ascii="仿宋_GB2312" w:eastAsia="仿宋_GB2312"/>
                <w:szCs w:val="21"/>
              </w:rPr>
            </w:pPr>
            <w:r>
              <w:rPr>
                <w:rFonts w:hint="eastAsia" w:ascii="仿宋_GB2312" w:eastAsia="仿宋_GB2312"/>
                <w:szCs w:val="21"/>
              </w:rPr>
              <w:t>3.国家杰出青年基金获得者；</w:t>
            </w:r>
          </w:p>
          <w:p>
            <w:pPr>
              <w:autoSpaceDE w:val="0"/>
              <w:autoSpaceDN w:val="0"/>
              <w:adjustRightInd w:val="0"/>
              <w:snapToGrid w:val="0"/>
              <w:spacing w:line="590" w:lineRule="exact"/>
              <w:ind w:firstLine="420" w:firstLineChars="200"/>
              <w:rPr>
                <w:rFonts w:ascii="仿宋_GB2312" w:eastAsia="仿宋_GB2312"/>
                <w:szCs w:val="21"/>
              </w:rPr>
            </w:pPr>
            <w:r>
              <w:rPr>
                <w:rFonts w:hint="eastAsia" w:ascii="仿宋_GB2312" w:eastAsia="仿宋_GB2312"/>
                <w:szCs w:val="21"/>
              </w:rPr>
              <w:t>4.国家重大重点研发计划的负责人；</w:t>
            </w:r>
          </w:p>
          <w:p>
            <w:pPr>
              <w:autoSpaceDE w:val="0"/>
              <w:autoSpaceDN w:val="0"/>
              <w:adjustRightInd w:val="0"/>
              <w:snapToGrid w:val="0"/>
              <w:spacing w:line="590" w:lineRule="exact"/>
              <w:ind w:firstLine="420" w:firstLineChars="200"/>
              <w:rPr>
                <w:rFonts w:ascii="仿宋_GB2312" w:eastAsia="仿宋_GB2312"/>
                <w:szCs w:val="21"/>
              </w:rPr>
            </w:pPr>
            <w:r>
              <w:rPr>
                <w:rFonts w:hint="eastAsia" w:ascii="仿宋_GB2312" w:eastAsia="仿宋_GB2312"/>
                <w:szCs w:val="21"/>
              </w:rPr>
              <w:t>5.“国家特支计划”哲学社会科学领军人才、百千万工程领军人才、教学名师；</w:t>
            </w:r>
          </w:p>
          <w:p>
            <w:pPr>
              <w:autoSpaceDE w:val="0"/>
              <w:autoSpaceDN w:val="0"/>
              <w:adjustRightInd w:val="0"/>
              <w:snapToGrid w:val="0"/>
              <w:spacing w:line="590" w:lineRule="exact"/>
              <w:ind w:firstLine="420" w:firstLineChars="200"/>
              <w:rPr>
                <w:rFonts w:ascii="仿宋_GB2312" w:eastAsia="仿宋_GB2312"/>
                <w:szCs w:val="21"/>
              </w:rPr>
            </w:pPr>
            <w:r>
              <w:rPr>
                <w:rFonts w:hint="eastAsia" w:ascii="仿宋_GB2312" w:eastAsia="仿宋_GB2312"/>
                <w:szCs w:val="21"/>
              </w:rPr>
              <w:t>6.国家级教学成果奖一等奖以上（排名第一）；</w:t>
            </w:r>
          </w:p>
          <w:p>
            <w:pPr>
              <w:autoSpaceDE w:val="0"/>
              <w:autoSpaceDN w:val="0"/>
              <w:adjustRightInd w:val="0"/>
              <w:snapToGrid w:val="0"/>
              <w:spacing w:line="590" w:lineRule="exact"/>
              <w:ind w:firstLine="420" w:firstLineChars="200"/>
              <w:rPr>
                <w:rFonts w:ascii="仿宋_GB2312" w:eastAsia="仿宋_GB2312"/>
                <w:szCs w:val="21"/>
              </w:rPr>
            </w:pPr>
            <w:r>
              <w:rPr>
                <w:rFonts w:hint="eastAsia" w:ascii="仿宋_GB2312" w:eastAsia="仿宋_GB2312"/>
                <w:szCs w:val="21"/>
              </w:rPr>
              <w:t>7.南粤百杰、广东省引进创新团队带头人、广东省领军人才</w:t>
            </w:r>
          </w:p>
          <w:p>
            <w:pPr>
              <w:autoSpaceDE w:val="0"/>
              <w:autoSpaceDN w:val="0"/>
              <w:adjustRightInd w:val="0"/>
              <w:snapToGrid w:val="0"/>
              <w:spacing w:line="590" w:lineRule="exact"/>
              <w:ind w:firstLine="420" w:firstLineChars="200"/>
              <w:rPr>
                <w:rFonts w:ascii="仿宋_GB2312" w:eastAsia="仿宋_GB2312"/>
                <w:szCs w:val="21"/>
              </w:rPr>
            </w:pPr>
            <w:r>
              <w:rPr>
                <w:rFonts w:hint="eastAsia" w:ascii="仿宋_GB2312" w:eastAsia="仿宋_GB2312"/>
                <w:szCs w:val="21"/>
              </w:rPr>
              <w:t>8. 其他学术地位、水平与此相当的人选。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adjustRightInd w:val="0"/>
              <w:snapToGrid w:val="0"/>
              <w:spacing w:line="588" w:lineRule="exact"/>
              <w:jc w:val="center"/>
              <w:rPr>
                <w:rFonts w:ascii="仿宋_GB2312" w:eastAsia="仿宋_GB2312"/>
                <w:szCs w:val="21"/>
              </w:rPr>
            </w:pPr>
            <w:r>
              <w:rPr>
                <w:rFonts w:hint="eastAsia" w:ascii="仿宋_GB2312" w:eastAsia="仿宋_GB2312"/>
                <w:szCs w:val="21"/>
              </w:rPr>
              <w:t>第三层次</w:t>
            </w:r>
          </w:p>
          <w:p>
            <w:pPr>
              <w:adjustRightInd w:val="0"/>
              <w:snapToGrid w:val="0"/>
              <w:spacing w:line="588" w:lineRule="exact"/>
              <w:jc w:val="center"/>
              <w:rPr>
                <w:rFonts w:ascii="仿宋_GB2312" w:eastAsia="仿宋_GB2312"/>
                <w:szCs w:val="21"/>
              </w:rPr>
            </w:pPr>
            <w:r>
              <w:rPr>
                <w:rFonts w:hint="eastAsia" w:ascii="仿宋_GB2312" w:eastAsia="仿宋_GB2312"/>
                <w:szCs w:val="21"/>
              </w:rPr>
              <w:t>（杰出人才）</w:t>
            </w:r>
          </w:p>
        </w:tc>
        <w:tc>
          <w:tcPr>
            <w:tcW w:w="9185" w:type="dxa"/>
            <w:vAlign w:val="center"/>
          </w:tcPr>
          <w:p>
            <w:pPr>
              <w:autoSpaceDE w:val="0"/>
              <w:autoSpaceDN w:val="0"/>
              <w:adjustRightInd w:val="0"/>
              <w:snapToGrid w:val="0"/>
              <w:spacing w:line="590" w:lineRule="exact"/>
              <w:ind w:firstLine="420" w:firstLineChars="200"/>
              <w:jc w:val="left"/>
              <w:rPr>
                <w:rFonts w:ascii="仿宋_GB2312" w:eastAsia="仿宋_GB2312"/>
                <w:szCs w:val="21"/>
              </w:rPr>
            </w:pPr>
            <w:r>
              <w:rPr>
                <w:rFonts w:hint="eastAsia" w:ascii="仿宋_GB2312" w:eastAsia="仿宋_GB2312"/>
                <w:szCs w:val="21"/>
              </w:rPr>
              <w:t>海外知名高校、科研院所副教授（或相当职务）以上，国内一流高校、科研院所正高级职务的人才。原则上不超过47周岁（以当年12月31日为计算截止日），其中包括：</w:t>
            </w:r>
          </w:p>
          <w:p>
            <w:pPr>
              <w:autoSpaceDE w:val="0"/>
              <w:autoSpaceDN w:val="0"/>
              <w:adjustRightInd w:val="0"/>
              <w:snapToGrid w:val="0"/>
              <w:spacing w:line="590" w:lineRule="exact"/>
              <w:ind w:firstLine="420" w:firstLineChars="200"/>
              <w:jc w:val="left"/>
              <w:rPr>
                <w:rFonts w:ascii="仿宋_GB2312" w:eastAsia="仿宋_GB2312"/>
                <w:szCs w:val="21"/>
              </w:rPr>
            </w:pPr>
            <w:r>
              <w:rPr>
                <w:rFonts w:hint="eastAsia" w:ascii="仿宋_GB2312" w:eastAsia="仿宋_GB2312"/>
                <w:szCs w:val="21"/>
              </w:rPr>
              <w:t>1.“珠江学者”特聘教授或同级别省级人才工程项目入选者；</w:t>
            </w:r>
          </w:p>
          <w:p>
            <w:pPr>
              <w:autoSpaceDE w:val="0"/>
              <w:autoSpaceDN w:val="0"/>
              <w:adjustRightInd w:val="0"/>
              <w:snapToGrid w:val="0"/>
              <w:spacing w:line="590" w:lineRule="exact"/>
              <w:ind w:firstLine="420" w:firstLineChars="200"/>
              <w:jc w:val="left"/>
              <w:rPr>
                <w:rFonts w:ascii="仿宋_GB2312" w:eastAsia="仿宋_GB2312"/>
                <w:szCs w:val="21"/>
              </w:rPr>
            </w:pPr>
            <w:r>
              <w:rPr>
                <w:rFonts w:hint="eastAsia" w:ascii="仿宋_GB2312" w:eastAsia="仿宋_GB2312"/>
                <w:szCs w:val="21"/>
              </w:rPr>
              <w:t>2.“百千万人才工程”国家级人选；</w:t>
            </w:r>
          </w:p>
          <w:p>
            <w:pPr>
              <w:autoSpaceDE w:val="0"/>
              <w:autoSpaceDN w:val="0"/>
              <w:adjustRightInd w:val="0"/>
              <w:snapToGrid w:val="0"/>
              <w:spacing w:line="590" w:lineRule="exact"/>
              <w:ind w:firstLine="420" w:firstLineChars="200"/>
              <w:jc w:val="left"/>
              <w:rPr>
                <w:rFonts w:ascii="仿宋_GB2312" w:eastAsia="仿宋_GB2312"/>
                <w:szCs w:val="21"/>
              </w:rPr>
            </w:pPr>
            <w:r>
              <w:rPr>
                <w:rFonts w:hint="eastAsia" w:ascii="仿宋_GB2312" w:eastAsia="仿宋_GB2312"/>
                <w:szCs w:val="21"/>
              </w:rPr>
              <w:t>3.国家“青年千人计划”获得者、“国家特支计划”青年拔尖人才、教育部“青年长江学者”、国家自然科学基金优秀青年基金获得者；</w:t>
            </w:r>
          </w:p>
          <w:p>
            <w:pPr>
              <w:autoSpaceDE w:val="0"/>
              <w:autoSpaceDN w:val="0"/>
              <w:adjustRightInd w:val="0"/>
              <w:snapToGrid w:val="0"/>
              <w:spacing w:line="590" w:lineRule="exact"/>
              <w:ind w:firstLine="420" w:firstLineChars="200"/>
              <w:jc w:val="left"/>
              <w:rPr>
                <w:rFonts w:ascii="仿宋_GB2312" w:eastAsia="仿宋_GB2312"/>
                <w:szCs w:val="21"/>
              </w:rPr>
            </w:pPr>
            <w:r>
              <w:rPr>
                <w:rFonts w:hint="eastAsia" w:ascii="仿宋_GB2312" w:eastAsia="仿宋_GB2312"/>
                <w:szCs w:val="21"/>
              </w:rPr>
              <w:t>4.国家社科基金重大项目首席专家；</w:t>
            </w:r>
          </w:p>
          <w:p>
            <w:pPr>
              <w:autoSpaceDE w:val="0"/>
              <w:autoSpaceDN w:val="0"/>
              <w:adjustRightInd w:val="0"/>
              <w:snapToGrid w:val="0"/>
              <w:spacing w:line="590" w:lineRule="exact"/>
              <w:ind w:firstLine="420" w:firstLineChars="200"/>
              <w:jc w:val="left"/>
              <w:rPr>
                <w:rFonts w:ascii="仿宋_GB2312" w:eastAsia="仿宋_GB2312"/>
                <w:szCs w:val="21"/>
              </w:rPr>
            </w:pPr>
            <w:r>
              <w:rPr>
                <w:rFonts w:hint="eastAsia" w:ascii="仿宋_GB2312" w:eastAsia="仿宋_GB2312"/>
                <w:szCs w:val="21"/>
              </w:rPr>
              <w:t>5.国家级教学名师、国家级精品课程类项目负责人；</w:t>
            </w:r>
          </w:p>
          <w:p>
            <w:pPr>
              <w:autoSpaceDE w:val="0"/>
              <w:autoSpaceDN w:val="0"/>
              <w:adjustRightInd w:val="0"/>
              <w:snapToGrid w:val="0"/>
              <w:spacing w:line="590" w:lineRule="exact"/>
              <w:ind w:firstLine="420" w:firstLineChars="200"/>
              <w:jc w:val="left"/>
              <w:rPr>
                <w:rFonts w:ascii="仿宋_GB2312" w:eastAsia="仿宋_GB2312"/>
                <w:szCs w:val="21"/>
              </w:rPr>
            </w:pPr>
            <w:r>
              <w:rPr>
                <w:rFonts w:hint="eastAsia" w:ascii="仿宋_GB2312" w:eastAsia="仿宋_GB2312"/>
                <w:szCs w:val="21"/>
              </w:rPr>
              <w:t>6.其他学术地位、水平与此相当的人选。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adjustRightInd w:val="0"/>
              <w:snapToGrid w:val="0"/>
              <w:spacing w:line="588" w:lineRule="exact"/>
              <w:jc w:val="center"/>
              <w:rPr>
                <w:rFonts w:ascii="仿宋_GB2312" w:eastAsia="仿宋_GB2312"/>
                <w:szCs w:val="21"/>
              </w:rPr>
            </w:pPr>
            <w:r>
              <w:rPr>
                <w:rFonts w:hint="eastAsia" w:ascii="仿宋_GB2312" w:eastAsia="仿宋_GB2312"/>
                <w:szCs w:val="21"/>
              </w:rPr>
              <w:t>第四层次</w:t>
            </w:r>
          </w:p>
          <w:p>
            <w:pPr>
              <w:adjustRightInd w:val="0"/>
              <w:snapToGrid w:val="0"/>
              <w:spacing w:line="588" w:lineRule="exact"/>
              <w:jc w:val="center"/>
              <w:rPr>
                <w:rFonts w:ascii="仿宋_GB2312" w:eastAsia="仿宋_GB2312"/>
                <w:szCs w:val="21"/>
              </w:rPr>
            </w:pPr>
            <w:r>
              <w:rPr>
                <w:rFonts w:hint="eastAsia" w:ascii="仿宋_GB2312" w:eastAsia="仿宋_GB2312"/>
                <w:szCs w:val="21"/>
              </w:rPr>
              <w:t>（青年拔尖人才）</w:t>
            </w:r>
          </w:p>
        </w:tc>
        <w:tc>
          <w:tcPr>
            <w:tcW w:w="9185" w:type="dxa"/>
            <w:vAlign w:val="center"/>
          </w:tcPr>
          <w:p>
            <w:pPr>
              <w:autoSpaceDE w:val="0"/>
              <w:autoSpaceDN w:val="0"/>
              <w:adjustRightInd w:val="0"/>
              <w:snapToGrid w:val="0"/>
              <w:spacing w:line="590" w:lineRule="exact"/>
              <w:ind w:firstLine="420" w:firstLineChars="200"/>
              <w:rPr>
                <w:rFonts w:ascii="仿宋_GB2312" w:eastAsia="仿宋_GB2312"/>
                <w:szCs w:val="21"/>
              </w:rPr>
            </w:pPr>
            <w:r>
              <w:rPr>
                <w:rFonts w:hint="eastAsia" w:ascii="仿宋_GB2312" w:eastAsia="仿宋_GB2312"/>
                <w:szCs w:val="21"/>
              </w:rPr>
              <w:t>在海外知名高校、科研院所拥有正式教学科研职位的杰出人才或优秀博士、博士后，国内一流高校、科研院所副高级以上职务的杰出人才。原则上不超过45周岁（以当年12月31日为计算截止日），且近五年科研成果符合下列条件的一项：</w:t>
            </w:r>
          </w:p>
          <w:p>
            <w:pPr>
              <w:autoSpaceDE w:val="0"/>
              <w:autoSpaceDN w:val="0"/>
              <w:adjustRightInd w:val="0"/>
              <w:snapToGrid w:val="0"/>
              <w:spacing w:line="590" w:lineRule="exact"/>
              <w:ind w:firstLine="420" w:firstLineChars="200"/>
              <w:rPr>
                <w:rFonts w:ascii="仿宋_GB2312" w:eastAsia="仿宋_GB2312"/>
                <w:szCs w:val="21"/>
              </w:rPr>
            </w:pPr>
            <w:r>
              <w:rPr>
                <w:rFonts w:hint="eastAsia" w:ascii="仿宋_GB2312" w:eastAsia="仿宋_GB2312"/>
                <w:szCs w:val="21"/>
              </w:rPr>
              <w:t>1.在《Science》、《Nature》、《CELL》或SCI(影响因子20以上)的国际顶尖期刊上发表论文1篇，或者在影响因子大于10的刊物上发表论文2篇，本人排名第一或为通讯作者；</w:t>
            </w:r>
          </w:p>
          <w:p>
            <w:pPr>
              <w:autoSpaceDE w:val="0"/>
              <w:autoSpaceDN w:val="0"/>
              <w:adjustRightInd w:val="0"/>
              <w:snapToGrid w:val="0"/>
              <w:spacing w:line="590" w:lineRule="exact"/>
              <w:ind w:firstLine="420" w:firstLineChars="200"/>
              <w:rPr>
                <w:rFonts w:ascii="仿宋_GB2312" w:eastAsia="仿宋_GB2312"/>
                <w:szCs w:val="21"/>
              </w:rPr>
            </w:pPr>
            <w:r>
              <w:rPr>
                <w:rFonts w:hint="eastAsia" w:ascii="仿宋_GB2312" w:eastAsia="仿宋_GB2312"/>
                <w:szCs w:val="21"/>
              </w:rPr>
              <w:t>2.作为第一作者或通讯作者在《中国社会科学》或者学科认定的顶尖国际期刊发表论文1篇，学校认定的A1类期刊或者在本学科权威期刊上（各学科通过学校认证的期刊列表）发表4篇以上学术论文；</w:t>
            </w:r>
          </w:p>
          <w:p>
            <w:pPr>
              <w:autoSpaceDE w:val="0"/>
              <w:autoSpaceDN w:val="0"/>
              <w:adjustRightInd w:val="0"/>
              <w:snapToGrid w:val="0"/>
              <w:spacing w:line="590" w:lineRule="exact"/>
              <w:ind w:firstLine="420" w:firstLineChars="200"/>
              <w:rPr>
                <w:rFonts w:ascii="仿宋_GB2312" w:eastAsia="仿宋_GB2312"/>
                <w:szCs w:val="21"/>
              </w:rPr>
            </w:pPr>
            <w:r>
              <w:rPr>
                <w:rFonts w:hint="eastAsia" w:ascii="仿宋_GB2312" w:eastAsia="仿宋_GB2312"/>
                <w:szCs w:val="21"/>
              </w:rPr>
              <w:t>3.所发表的第一作者或通讯作者学术论文经SCI、EI、SSCI、A＆HCI检索，单篇近五年被其他人引用50次以上；</w:t>
            </w:r>
          </w:p>
          <w:p>
            <w:pPr>
              <w:autoSpaceDE w:val="0"/>
              <w:autoSpaceDN w:val="0"/>
              <w:adjustRightInd w:val="0"/>
              <w:snapToGrid w:val="0"/>
              <w:spacing w:line="590" w:lineRule="exact"/>
              <w:ind w:firstLine="420" w:firstLineChars="200"/>
              <w:rPr>
                <w:rFonts w:ascii="仿宋_GB2312" w:eastAsia="仿宋_GB2312"/>
                <w:szCs w:val="21"/>
              </w:rPr>
            </w:pPr>
            <w:r>
              <w:rPr>
                <w:rFonts w:hint="eastAsia" w:ascii="仿宋_GB2312" w:eastAsia="仿宋_GB2312"/>
                <w:szCs w:val="21"/>
              </w:rPr>
              <w:t>4.广东省青年珠江获得者、广东省杰出青年基金获得者或同级别省级人才工程项目入选者；</w:t>
            </w:r>
          </w:p>
          <w:p>
            <w:pPr>
              <w:autoSpaceDE w:val="0"/>
              <w:autoSpaceDN w:val="0"/>
              <w:adjustRightInd w:val="0"/>
              <w:snapToGrid w:val="0"/>
              <w:spacing w:line="590" w:lineRule="exact"/>
              <w:ind w:firstLine="420" w:firstLineChars="200"/>
              <w:rPr>
                <w:rFonts w:ascii="仿宋_GB2312" w:eastAsia="仿宋_GB2312"/>
                <w:szCs w:val="21"/>
              </w:rPr>
            </w:pPr>
            <w:r>
              <w:rPr>
                <w:rFonts w:hint="eastAsia" w:ascii="仿宋_GB2312" w:eastAsia="仿宋_GB2312"/>
                <w:szCs w:val="21"/>
              </w:rPr>
              <w:t>5.省部级教学名师、省部级精品课程类项目负责人；</w:t>
            </w:r>
          </w:p>
          <w:p>
            <w:pPr>
              <w:autoSpaceDE w:val="0"/>
              <w:autoSpaceDN w:val="0"/>
              <w:adjustRightInd w:val="0"/>
              <w:snapToGrid w:val="0"/>
              <w:spacing w:line="590" w:lineRule="exact"/>
              <w:ind w:firstLine="420" w:firstLineChars="200"/>
              <w:rPr>
                <w:rFonts w:ascii="仿宋_GB2312" w:eastAsia="仿宋_GB2312"/>
                <w:szCs w:val="21"/>
              </w:rPr>
            </w:pPr>
            <w:r>
              <w:rPr>
                <w:rFonts w:hint="eastAsia" w:ascii="仿宋_GB2312" w:eastAsia="仿宋_GB2312"/>
                <w:szCs w:val="21"/>
              </w:rPr>
              <w:t>6.其他学术地位、水平与此相当的人选。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adjustRightInd w:val="0"/>
              <w:snapToGrid w:val="0"/>
              <w:spacing w:line="588" w:lineRule="exact"/>
              <w:jc w:val="center"/>
              <w:rPr>
                <w:rFonts w:ascii="仿宋_GB2312" w:eastAsia="仿宋_GB2312"/>
                <w:szCs w:val="21"/>
              </w:rPr>
            </w:pPr>
            <w:r>
              <w:rPr>
                <w:rFonts w:hint="eastAsia" w:ascii="仿宋_GB2312" w:eastAsia="仿宋_GB2312"/>
                <w:szCs w:val="21"/>
              </w:rPr>
              <w:t>第五层次</w:t>
            </w:r>
          </w:p>
          <w:p>
            <w:pPr>
              <w:adjustRightInd w:val="0"/>
              <w:snapToGrid w:val="0"/>
              <w:spacing w:line="588" w:lineRule="exact"/>
              <w:jc w:val="center"/>
              <w:rPr>
                <w:rFonts w:ascii="仿宋_GB2312" w:eastAsia="仿宋_GB2312"/>
                <w:szCs w:val="21"/>
              </w:rPr>
            </w:pPr>
            <w:r>
              <w:rPr>
                <w:rFonts w:hint="eastAsia" w:ascii="仿宋_GB2312" w:eastAsia="仿宋_GB2312"/>
                <w:szCs w:val="21"/>
              </w:rPr>
              <w:t>（优秀青年人才）</w:t>
            </w:r>
          </w:p>
        </w:tc>
        <w:tc>
          <w:tcPr>
            <w:tcW w:w="9185" w:type="dxa"/>
            <w:vAlign w:val="center"/>
          </w:tcPr>
          <w:p>
            <w:pPr>
              <w:autoSpaceDE w:val="0"/>
              <w:autoSpaceDN w:val="0"/>
              <w:adjustRightInd w:val="0"/>
              <w:snapToGrid w:val="0"/>
              <w:spacing w:line="590" w:lineRule="exact"/>
              <w:ind w:firstLine="420" w:firstLineChars="200"/>
              <w:rPr>
                <w:rFonts w:ascii="仿宋_GB2312" w:eastAsia="仿宋_GB2312"/>
                <w:szCs w:val="21"/>
              </w:rPr>
            </w:pPr>
            <w:r>
              <w:rPr>
                <w:rFonts w:hint="eastAsia" w:ascii="仿宋_GB2312" w:eastAsia="仿宋_GB2312"/>
                <w:szCs w:val="21"/>
              </w:rPr>
              <w:t>国内外具有较好发展潜力的优秀博士、博士后，原则上不超过35周岁（以当年12月31日为计算截止日），且近五年科研成果符合下列条件的一项：</w:t>
            </w:r>
          </w:p>
          <w:p>
            <w:pPr>
              <w:adjustRightInd w:val="0"/>
              <w:snapToGrid w:val="0"/>
              <w:spacing w:line="590" w:lineRule="exact"/>
              <w:ind w:firstLine="420" w:firstLineChars="200"/>
              <w:rPr>
                <w:rFonts w:ascii="仿宋_GB2312" w:eastAsia="仿宋_GB2312"/>
                <w:szCs w:val="21"/>
              </w:rPr>
            </w:pPr>
            <w:r>
              <w:rPr>
                <w:rFonts w:hint="eastAsia" w:ascii="仿宋_GB2312" w:eastAsia="仿宋_GB2312"/>
                <w:szCs w:val="21"/>
              </w:rPr>
              <w:t>1.作为第一作者或通讯作者在学校认定的A1类期刊或者在本科权威期刊上（各学科通过学校认证的期刊列表）发表2篇及以上学术论文；</w:t>
            </w:r>
          </w:p>
          <w:p>
            <w:pPr>
              <w:adjustRightInd w:val="0"/>
              <w:snapToGrid w:val="0"/>
              <w:spacing w:line="590" w:lineRule="exact"/>
              <w:ind w:firstLine="420" w:firstLineChars="200"/>
              <w:rPr>
                <w:rFonts w:ascii="仿宋_GB2312" w:eastAsia="仿宋_GB2312"/>
                <w:szCs w:val="21"/>
              </w:rPr>
            </w:pPr>
            <w:r>
              <w:rPr>
                <w:rFonts w:hint="eastAsia" w:ascii="仿宋_GB2312" w:eastAsia="仿宋_GB2312"/>
                <w:szCs w:val="21"/>
              </w:rPr>
              <w:t>2.所发表的第一作者或通讯作者学术论文经SCI、EI、SSCI、A＆HCI检索，单篇近五年被其他人引用30次以上；</w:t>
            </w:r>
          </w:p>
          <w:p>
            <w:pPr>
              <w:adjustRightInd w:val="0"/>
              <w:snapToGrid w:val="0"/>
              <w:spacing w:line="590" w:lineRule="exact"/>
              <w:ind w:firstLine="420" w:firstLineChars="200"/>
              <w:rPr>
                <w:rFonts w:ascii="仿宋_GB2312" w:eastAsia="仿宋_GB2312"/>
                <w:szCs w:val="21"/>
              </w:rPr>
            </w:pPr>
            <w:r>
              <w:rPr>
                <w:rFonts w:hint="eastAsia" w:ascii="仿宋_GB2312" w:eastAsia="仿宋_GB2312"/>
                <w:szCs w:val="21"/>
              </w:rPr>
              <w:t>3.人文社会科学学科获省级科研成果奖二等奖或部级科研成果三等奖以上（排名第一）；或获国家级教学成果奖二等奖以上（排名前3）；</w:t>
            </w:r>
          </w:p>
          <w:p>
            <w:pPr>
              <w:adjustRightInd w:val="0"/>
              <w:snapToGrid w:val="0"/>
              <w:spacing w:line="590" w:lineRule="exact"/>
              <w:ind w:firstLine="420" w:firstLineChars="200"/>
              <w:rPr>
                <w:rFonts w:ascii="仿宋_GB2312" w:eastAsia="仿宋_GB2312"/>
                <w:szCs w:val="21"/>
              </w:rPr>
            </w:pPr>
            <w:r>
              <w:rPr>
                <w:rFonts w:hint="eastAsia" w:ascii="仿宋_GB2312" w:eastAsia="仿宋_GB2312"/>
                <w:szCs w:val="21"/>
              </w:rPr>
              <w:t>4.其他学术地位、水平与此相当的人选。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adjustRightInd w:val="0"/>
              <w:snapToGrid w:val="0"/>
              <w:spacing w:line="588" w:lineRule="exact"/>
              <w:jc w:val="center"/>
              <w:rPr>
                <w:rFonts w:ascii="仿宋_GB2312" w:eastAsia="仿宋_GB2312"/>
                <w:szCs w:val="21"/>
              </w:rPr>
            </w:pPr>
            <w:r>
              <w:rPr>
                <w:rFonts w:hint="eastAsia" w:ascii="仿宋_GB2312" w:eastAsia="仿宋_GB2312"/>
                <w:szCs w:val="21"/>
              </w:rPr>
              <w:t>第六层次</w:t>
            </w:r>
          </w:p>
        </w:tc>
        <w:tc>
          <w:tcPr>
            <w:tcW w:w="9185" w:type="dxa"/>
            <w:vAlign w:val="center"/>
          </w:tcPr>
          <w:p>
            <w:pPr>
              <w:adjustRightInd w:val="0"/>
              <w:snapToGrid w:val="0"/>
              <w:spacing w:line="588" w:lineRule="exact"/>
              <w:ind w:firstLine="420" w:firstLineChars="200"/>
              <w:jc w:val="left"/>
              <w:rPr>
                <w:rFonts w:ascii="仿宋_GB2312" w:eastAsia="仿宋_GB2312"/>
                <w:szCs w:val="21"/>
              </w:rPr>
            </w:pPr>
            <w:r>
              <w:rPr>
                <w:rFonts w:hint="eastAsia" w:ascii="仿宋_GB2312" w:eastAsia="仿宋_GB2312"/>
                <w:szCs w:val="21"/>
              </w:rPr>
              <w:t>国内外高校毕业博士、博士后人员，到岗后从事教学和科研工作。</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E51D20"/>
    <w:rsid w:val="26E51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2022-03-02T08:20:00Z</dcterms:created>
  <dc:creator>李琛</dc:creator>
  <cp:lastModifiedBy>李琛</cp:lastModifiedBy>
  <dcterms:modified xsi:type="dcterms:W3CDTF">2022-03-02T08:21:37Z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828DD9B3D10F419FBAD6E3B1E2F7CCFB</vt:lpwstr>
  </property>
</Properties>
</file>